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before="156" w:beforeLines="5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：本次团购油品详情介绍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一、油品企业简介：</w:t>
      </w:r>
    </w:p>
    <w:p>
      <w:pPr>
        <w:ind w:firstLine="210" w:firstLineChars="100"/>
        <w:rPr>
          <w:rFonts w:ascii="微软雅黑" w:hAnsi="微软雅黑" w:eastAsia="微软雅黑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154305</wp:posOffset>
            </wp:positionV>
            <wp:extent cx="1548130" cy="1508125"/>
            <wp:effectExtent l="0" t="0" r="13970" b="15875"/>
            <wp:wrapNone/>
            <wp:docPr id="3" name="图片 3" descr="https://timgsa.baidu.com/timg?image&amp;quality=80&amp;size=b9999_10000&amp;sec=1604297030236&amp;di=5f80c507360e8a19974ef26026f1e527&amp;imgtype=0&amp;src=http%3A%2F%2Fzhaopin-rd5-pub.oss-cn-beijing.aliyuncs.com%2Fimgs%2Fcompany%2F40700efcc34eb2ec3cd1af1278ef8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timgsa.baidu.com/timg?image&amp;quality=80&amp;size=b9999_10000&amp;sec=1604297030236&amp;di=5f80c507360e8a19974ef26026f1e527&amp;imgtype=0&amp;src=http%3A%2F%2Fzhaopin-rd5-pub.oss-cn-beijing.aliyuncs.com%2Fimgs%2Fcompany%2F40700efcc34eb2ec3cd1af1278ef835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w:t>青岛康普顿科技股份有限公司</w:t>
      </w:r>
    </w:p>
    <w:p>
      <w:r>
        <w:rPr>
          <w:rFonts w:hint="eastAsia" w:asciiTheme="minorEastAsia" w:hAnsiTheme="minorEastAsia"/>
        </w:rPr>
        <w:t xml:space="preserve">◆ </w:t>
      </w:r>
      <w:r>
        <w:rPr>
          <w:rFonts w:hint="eastAsia"/>
        </w:rPr>
        <w:t>国内首家A股主版块上市公司（603798）；</w:t>
      </w:r>
    </w:p>
    <w:p>
      <w:r>
        <w:rPr>
          <w:rFonts w:hint="eastAsia" w:asciiTheme="minorEastAsia" w:hAnsiTheme="minorEastAsia"/>
        </w:rPr>
        <w:t xml:space="preserve">◆ </w:t>
      </w:r>
      <w:r>
        <w:rPr>
          <w:rFonts w:hint="eastAsia"/>
        </w:rPr>
        <w:t>与美国路博润全球最大复合添加剂公司合作研发“纳米盾”润滑技术；</w:t>
      </w:r>
    </w:p>
    <w:p>
      <w:r>
        <w:rPr>
          <w:rFonts w:hint="eastAsia" w:asciiTheme="minorEastAsia" w:hAnsiTheme="minorEastAsia"/>
        </w:rPr>
        <w:t xml:space="preserve">◆ </w:t>
      </w:r>
      <w:r>
        <w:rPr>
          <w:rFonts w:hint="eastAsia"/>
        </w:rPr>
        <w:t>中国润滑油行业十大品牌；</w:t>
      </w:r>
    </w:p>
    <w:p>
      <w:r>
        <w:rPr>
          <w:rFonts w:hint="eastAsia" w:asciiTheme="minorEastAsia" w:hAnsiTheme="minorEastAsia"/>
        </w:rPr>
        <w:t xml:space="preserve">◆ </w:t>
      </w:r>
      <w:r>
        <w:rPr>
          <w:rFonts w:hint="eastAsia"/>
        </w:rPr>
        <w:t>中国南北极科考官方合作伙伴；</w:t>
      </w:r>
    </w:p>
    <w:p>
      <w:r>
        <w:rPr>
          <w:rFonts w:hint="eastAsia" w:asciiTheme="minorEastAsia" w:hAnsiTheme="minorEastAsia"/>
        </w:rPr>
        <w:t xml:space="preserve">◆ </w:t>
      </w:r>
      <w:r>
        <w:rPr>
          <w:rFonts w:hint="eastAsia"/>
        </w:rPr>
        <w:t>国家商务部AAA级信用企业；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◆ 国内润滑油行业首家工业4.0智慧工厂；</w:t>
      </w:r>
    </w:p>
    <w:p>
      <w:pPr>
        <w:rPr>
          <w:rFonts w:asciiTheme="minorEastAsia" w:hAnsiTheme="minorEastAsia"/>
        </w:rPr>
      </w:pPr>
    </w:p>
    <w:p/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二、油品介绍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b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337820</wp:posOffset>
                </wp:positionV>
                <wp:extent cx="4295775" cy="962025"/>
                <wp:effectExtent l="114300" t="0" r="0" b="0"/>
                <wp:wrapNone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775" cy="962025"/>
                          <a:chOff x="0" y="0"/>
                          <a:chExt cx="3056559" cy="628016"/>
                        </a:xfrm>
                      </wpg:grpSpPr>
                      <wps:wsp>
                        <wps:cNvPr id="7" name="文本框 3"/>
                        <wps:cNvSpPr txBox="1"/>
                        <wps:spPr>
                          <a:xfrm>
                            <a:off x="13833" y="1"/>
                            <a:ext cx="1045210" cy="628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  <w:ind w:firstLine="240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0000"/>
                                  <w:kern w:val="24"/>
                                  <w:sz w:val="12"/>
                                  <w:szCs w:val="12"/>
                                </w:rPr>
                                <w:t>油压稳定性能提升</w:t>
                              </w:r>
                            </w:p>
                            <w:p>
                              <w:pPr>
                                <w:pStyle w:val="3"/>
                                <w:spacing w:before="0" w:beforeAutospacing="0" w:after="0" w:afterAutospacing="0" w:line="533" w:lineRule="exact"/>
                                <w:ind w:firstLine="259" w:firstLineChars="50"/>
                              </w:pPr>
                              <w:r>
                                <w:rPr>
                                  <w:rFonts w:ascii="Myriad Pro" w:hAnsi="Myriad Pro" w:eastAsiaTheme="minorEastAsia" w:cstheme="minorBidi"/>
                                  <w:b/>
                                  <w:bCs/>
                                  <w:color w:val="FF0000"/>
                                  <w:spacing w:val="-32"/>
                                  <w:kern w:val="24"/>
                                  <w:sz w:val="58"/>
                                  <w:szCs w:val="58"/>
                                </w:rPr>
                                <w:t>73</w:t>
                              </w:r>
                              <w:r>
                                <w:rPr>
                                  <w:rFonts w:hAnsi="Calibri" w:asciiTheme="minorHAnsi" w:eastAsiaTheme="minorEastAsia" w:cstheme="minorBidi"/>
                                  <w:b/>
                                  <w:bCs/>
                                  <w:color w:val="FF0000"/>
                                  <w:kern w:val="24"/>
                                  <w:sz w:val="43"/>
                                  <w:szCs w:val="43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 flipV="1">
                            <a:off x="0" y="44201"/>
                            <a:ext cx="0" cy="373147"/>
                          </a:xfrm>
                          <a:prstGeom prst="straightConnector1">
                            <a:avLst/>
                          </a:prstGeom>
                          <a:ln w="76200">
                            <a:gradFill>
                              <a:gsLst>
                                <a:gs pos="9000">
                                  <a:schemeClr val="accent1">
                                    <a:lumMod val="0"/>
                                    <a:lumOff val="100000"/>
                                    <a:alpha val="0"/>
                                  </a:schemeClr>
                                </a:gs>
                                <a:gs pos="57000">
                                  <a:srgbClr val="FF0000"/>
                                </a:gs>
                              </a:gsLst>
                              <a:lin ang="5400000" scaled="1"/>
                            </a:gra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1007571" y="0"/>
                            <a:ext cx="1282700" cy="628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  <w:ind w:firstLine="240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0000"/>
                                  <w:kern w:val="24"/>
                                  <w:sz w:val="12"/>
                                  <w:szCs w:val="12"/>
                                </w:rPr>
                                <w:t>沉积物控制性能提升</w:t>
                              </w:r>
                            </w:p>
                            <w:p>
                              <w:pPr>
                                <w:pStyle w:val="3"/>
                                <w:spacing w:before="0" w:beforeAutospacing="0" w:after="0" w:afterAutospacing="0" w:line="533" w:lineRule="exact"/>
                                <w:ind w:firstLine="275" w:firstLineChars="50"/>
                              </w:pPr>
                              <w:r>
                                <w:rPr>
                                  <w:rFonts w:ascii="Myriad Pro" w:hAnsi="Myriad Pro" w:eastAsiaTheme="minorEastAsia" w:cstheme="minorBidi"/>
                                  <w:b/>
                                  <w:bCs/>
                                  <w:color w:val="FF0000"/>
                                  <w:spacing w:val="-16"/>
                                  <w:kern w:val="24"/>
                                  <w:sz w:val="58"/>
                                  <w:szCs w:val="58"/>
                                </w:rPr>
                                <w:t>67</w:t>
                              </w:r>
                              <w:r>
                                <w:rPr>
                                  <w:rFonts w:hAnsi="Calibri" w:asciiTheme="minorHAnsi" w:eastAsiaTheme="minorEastAsia" w:cstheme="minorBidi"/>
                                  <w:b/>
                                  <w:bCs/>
                                  <w:color w:val="FF0000"/>
                                  <w:spacing w:val="-16"/>
                                  <w:kern w:val="24"/>
                                  <w:sz w:val="43"/>
                                  <w:szCs w:val="43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010714" y="1"/>
                            <a:ext cx="1045845" cy="628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  <w:ind w:firstLine="240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FF0000"/>
                                  <w:kern w:val="24"/>
                                  <w:sz w:val="12"/>
                                  <w:szCs w:val="12"/>
                                </w:rPr>
                                <w:t>抗磨保护性能提升</w:t>
                              </w:r>
                            </w:p>
                            <w:p>
                              <w:pPr>
                                <w:pStyle w:val="3"/>
                                <w:spacing w:before="0" w:beforeAutospacing="0" w:after="0" w:afterAutospacing="0" w:line="533" w:lineRule="exact"/>
                                <w:ind w:firstLine="275" w:firstLineChars="50"/>
                                <w:rPr>
                                  <w:rFonts w:hAnsi="Calibri" w:asciiTheme="minorHAnsi" w:eastAsiaTheme="minorEastAsia" w:cstheme="minorBidi"/>
                                  <w:b/>
                                  <w:bCs/>
                                  <w:color w:val="FF0000"/>
                                  <w:spacing w:val="-16"/>
                                  <w:kern w:val="24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Myriad Pro" w:hAnsi="Myriad Pro" w:eastAsiaTheme="minorEastAsia" w:cstheme="minorBidi"/>
                                  <w:b/>
                                  <w:bCs/>
                                  <w:color w:val="FF0000"/>
                                  <w:spacing w:val="-16"/>
                                  <w:kern w:val="24"/>
                                  <w:sz w:val="58"/>
                                  <w:szCs w:val="58"/>
                                </w:rPr>
                                <w:t>40</w:t>
                              </w:r>
                              <w:r>
                                <w:rPr>
                                  <w:rFonts w:hAnsi="Calibri" w:asciiTheme="minorHAnsi" w:eastAsiaTheme="minorEastAsia" w:cstheme="minorBidi"/>
                                  <w:b/>
                                  <w:bCs/>
                                  <w:color w:val="FF0000"/>
                                  <w:spacing w:val="-16"/>
                                  <w:kern w:val="24"/>
                                  <w:sz w:val="43"/>
                                  <w:szCs w:val="43"/>
                                </w:rPr>
                                <w:t>%</w:t>
                              </w:r>
                            </w:p>
                            <w:p>
                              <w:pPr>
                                <w:pStyle w:val="3"/>
                                <w:spacing w:before="0" w:beforeAutospacing="0" w:after="0" w:afterAutospacing="0" w:line="533" w:lineRule="exact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 flipV="1">
                            <a:off x="981141" y="44201"/>
                            <a:ext cx="0" cy="373147"/>
                          </a:xfrm>
                          <a:prstGeom prst="straightConnector1">
                            <a:avLst/>
                          </a:prstGeom>
                          <a:ln w="76200">
                            <a:gradFill>
                              <a:gsLst>
                                <a:gs pos="9000">
                                  <a:schemeClr val="accent1">
                                    <a:lumMod val="0"/>
                                    <a:lumOff val="100000"/>
                                    <a:alpha val="0"/>
                                  </a:schemeClr>
                                </a:gs>
                                <a:gs pos="57000">
                                  <a:srgbClr val="FF0000"/>
                                </a:gs>
                              </a:gsLst>
                              <a:lin ang="5400000" scaled="1"/>
                            </a:gra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 flipV="1">
                            <a:off x="1987157" y="44201"/>
                            <a:ext cx="0" cy="373147"/>
                          </a:xfrm>
                          <a:prstGeom prst="straightConnector1">
                            <a:avLst/>
                          </a:prstGeom>
                          <a:ln w="76200">
                            <a:gradFill>
                              <a:gsLst>
                                <a:gs pos="9000">
                                  <a:schemeClr val="accent1">
                                    <a:lumMod val="0"/>
                                    <a:lumOff val="100000"/>
                                    <a:alpha val="0"/>
                                  </a:schemeClr>
                                </a:gs>
                                <a:gs pos="57000">
                                  <a:srgbClr val="FF0000"/>
                                </a:gs>
                              </a:gsLst>
                              <a:lin ang="5400000" scaled="1"/>
                            </a:gra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13.5pt;margin-top:26.6pt;height:75.75pt;width:338.25pt;z-index:251661312;mso-width-relative:page;mso-height-relative:page;" coordsize="3056559,628016" o:gfxdata="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OM7+BzZAAAACQEAAA8AAAAA&#10;AAAAAQAgAAAAIgAAAGRycy9kb3ducmV2LnhtbFBLAQIUABQAAAAIAIdO4kCHvHZ42wMAACoQAAAO&#10;AAAAAAAAAAEAIAAAACgBAABkcnMvZTJvRG9jLnhtbFBLBQYAAAAABgAGAFkBAAB1BwAAAAA=&#10;">
                <o:lock v:ext="edit" aspectratio="f"/>
                <v:shape id="文本框 3" o:spid="_x0000_s1026" o:spt="202" type="#_x0000_t202" style="position:absolute;left:13833;top:1;height:628015;width:104521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  <w:ind w:firstLine="240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0000"/>
                            <w:kern w:val="24"/>
                            <w:sz w:val="12"/>
                            <w:szCs w:val="12"/>
                          </w:rPr>
                          <w:t>油压稳定性能提升</w:t>
                        </w:r>
                      </w:p>
                      <w:p>
                        <w:pPr>
                          <w:pStyle w:val="3"/>
                          <w:spacing w:before="0" w:beforeAutospacing="0" w:after="0" w:afterAutospacing="0" w:line="533" w:lineRule="exact"/>
                          <w:ind w:firstLine="259" w:firstLineChars="50"/>
                        </w:pPr>
                        <w:r>
                          <w:rPr>
                            <w:rFonts w:ascii="Myriad Pro" w:hAnsi="Myriad Pro" w:eastAsiaTheme="minorEastAsia" w:cstheme="minorBidi"/>
                            <w:b/>
                            <w:bCs/>
                            <w:color w:val="FF0000"/>
                            <w:spacing w:val="-32"/>
                            <w:kern w:val="24"/>
                            <w:sz w:val="58"/>
                            <w:szCs w:val="58"/>
                          </w:rPr>
                          <w:t>73</w:t>
                        </w:r>
                        <w:r>
                          <w:rPr>
                            <w:rFonts w:hAnsi="Calibri" w:asciiTheme="minorHAnsi" w:eastAsiaTheme="minorEastAsia" w:cstheme="minorBidi"/>
                            <w:b/>
                            <w:bCs/>
                            <w:color w:val="FF0000"/>
                            <w:kern w:val="24"/>
                            <w:sz w:val="43"/>
                            <w:szCs w:val="43"/>
                          </w:rPr>
                          <w:t>%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0;top:44201;flip:y;height:373147;width:0;" filled="f" stroked="t" coordsize="21600,21600" o:gfxdata="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dzC7sAAADa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0000" miterlimit="8" joinstyle="miter" endarrow="block"/>
                  <v:imagedata o:title=""/>
                  <o:lock v:ext="edit" aspectratio="f"/>
                </v:shape>
                <v:shape id="文本框 8" o:spid="_x0000_s1026" o:spt="202" type="#_x0000_t202" style="position:absolute;left:1007571;top:0;height:628015;width:128270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  <w:ind w:firstLine="240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0000"/>
                            <w:kern w:val="24"/>
                            <w:sz w:val="12"/>
                            <w:szCs w:val="12"/>
                          </w:rPr>
                          <w:t>沉积物控制性能提升</w:t>
                        </w:r>
                      </w:p>
                      <w:p>
                        <w:pPr>
                          <w:pStyle w:val="3"/>
                          <w:spacing w:before="0" w:beforeAutospacing="0" w:after="0" w:afterAutospacing="0" w:line="533" w:lineRule="exact"/>
                          <w:ind w:firstLine="275" w:firstLineChars="50"/>
                        </w:pPr>
                        <w:r>
                          <w:rPr>
                            <w:rFonts w:ascii="Myriad Pro" w:hAnsi="Myriad Pro" w:eastAsiaTheme="minorEastAsia" w:cstheme="minorBidi"/>
                            <w:b/>
                            <w:bCs/>
                            <w:color w:val="FF0000"/>
                            <w:spacing w:val="-16"/>
                            <w:kern w:val="24"/>
                            <w:sz w:val="58"/>
                            <w:szCs w:val="58"/>
                          </w:rPr>
                          <w:t>67</w:t>
                        </w:r>
                        <w:r>
                          <w:rPr>
                            <w:rFonts w:hAnsi="Calibri" w:asciiTheme="minorHAnsi" w:eastAsiaTheme="minorEastAsia" w:cstheme="minorBidi"/>
                            <w:b/>
                            <w:bCs/>
                            <w:color w:val="FF0000"/>
                            <w:spacing w:val="-16"/>
                            <w:kern w:val="24"/>
                            <w:sz w:val="43"/>
                            <w:szCs w:val="43"/>
                          </w:rPr>
                          <w:t>%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10714;top:1;height:628015;width:104584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  <w:ind w:firstLine="240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FF0000"/>
                            <w:kern w:val="24"/>
                            <w:sz w:val="12"/>
                            <w:szCs w:val="12"/>
                          </w:rPr>
                          <w:t>抗磨保护性能提升</w:t>
                        </w:r>
                      </w:p>
                      <w:p>
                        <w:pPr>
                          <w:pStyle w:val="3"/>
                          <w:spacing w:before="0" w:beforeAutospacing="0" w:after="0" w:afterAutospacing="0" w:line="533" w:lineRule="exact"/>
                          <w:ind w:firstLine="275" w:firstLineChars="50"/>
                          <w:rPr>
                            <w:rFonts w:hAnsi="Calibri" w:asciiTheme="minorHAnsi" w:eastAsiaTheme="minorEastAsia" w:cstheme="minorBidi"/>
                            <w:b/>
                            <w:bCs/>
                            <w:color w:val="FF0000"/>
                            <w:spacing w:val="-16"/>
                            <w:kern w:val="24"/>
                            <w:sz w:val="43"/>
                            <w:szCs w:val="43"/>
                          </w:rPr>
                        </w:pPr>
                        <w:r>
                          <w:rPr>
                            <w:rFonts w:ascii="Myriad Pro" w:hAnsi="Myriad Pro" w:eastAsiaTheme="minorEastAsia" w:cstheme="minorBidi"/>
                            <w:b/>
                            <w:bCs/>
                            <w:color w:val="FF0000"/>
                            <w:spacing w:val="-16"/>
                            <w:kern w:val="24"/>
                            <w:sz w:val="58"/>
                            <w:szCs w:val="58"/>
                          </w:rPr>
                          <w:t>40</w:t>
                        </w:r>
                        <w:r>
                          <w:rPr>
                            <w:rFonts w:hAnsi="Calibri" w:asciiTheme="minorHAnsi" w:eastAsiaTheme="minorEastAsia" w:cstheme="minorBidi"/>
                            <w:b/>
                            <w:bCs/>
                            <w:color w:val="FF0000"/>
                            <w:spacing w:val="-16"/>
                            <w:kern w:val="24"/>
                            <w:sz w:val="43"/>
                            <w:szCs w:val="43"/>
                          </w:rPr>
                          <w:t>%</w:t>
                        </w:r>
                      </w:p>
                      <w:p>
                        <w:pPr>
                          <w:pStyle w:val="3"/>
                          <w:spacing w:before="0" w:beforeAutospacing="0" w:after="0" w:afterAutospacing="0" w:line="533" w:lineRule="exact"/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981141;top:44201;flip:y;height:373147;width:0;" filled="f" stroked="t" coordsize="21600,21600" o:gfxdata="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ose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987157;top:44201;flip:y;height:373147;width:0;" filled="f" stroked="t" coordsize="21600,21600" o:gfxdata="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+i+YugAAANsA&#10;AAAPAAAAAAAAAAEAIAAAACIAAABkcnMvZG93bnJldi54bWxQSwECFAAUAAAACACHTuJAMy8FnjsA&#10;AAA5AAAAEAAAAAAAAAABACAAAAAJAQAAZHJzL3NoYXBleG1sLnhtbFBLBQYAAAAABgAGAFsBAACz&#10;AwAAAAA=&#10;">
                  <v:fill on="f" focussize="0,0"/>
                  <v:stroke weight="6pt"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/>
          <w:b/>
          <w:sz w:val="24"/>
        </w:rPr>
        <w:t>1、N</w:t>
      </w:r>
      <w:r>
        <w:rPr>
          <w:rFonts w:ascii="微软雅黑" w:hAnsi="微软雅黑" w:eastAsia="微软雅黑"/>
          <w:b/>
          <w:sz w:val="24"/>
        </w:rPr>
        <w:t>ANO D90</w:t>
      </w:r>
      <w:r>
        <w:rPr>
          <w:rFonts w:hint="eastAsia" w:ascii="微软雅黑" w:hAnsi="微软雅黑" w:eastAsia="微软雅黑"/>
          <w:b/>
          <w:sz w:val="24"/>
        </w:rPr>
        <w:t xml:space="preserve"> CJ-4（纳米系列）</w:t>
      </w:r>
    </w:p>
    <w:p>
      <w:pPr>
        <w:rPr>
          <w:rFonts w:ascii="微软雅黑" w:hAnsi="微软雅黑" w:eastAsia="微软雅黑"/>
          <w:b/>
          <w:sz w:val="24"/>
        </w:rPr>
      </w:pPr>
    </w:p>
    <w:p>
      <w:pPr>
        <w:rPr>
          <w:rFonts w:ascii="微软雅黑" w:hAnsi="微软雅黑" w:eastAsia="微软雅黑"/>
          <w:b/>
          <w:sz w:val="2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11430</wp:posOffset>
            </wp:positionV>
            <wp:extent cx="1837055" cy="1771650"/>
            <wp:effectExtent l="0" t="0" r="10795" b="0"/>
            <wp:wrapNone/>
            <wp:docPr id="2" name="图片 1" descr="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9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4"/>
        <w:tblW w:w="60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3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  <w:t>产品名称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  <w:t xml:space="preserve">NANO D90 CJ-4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SAE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15W40/20W50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是否合成油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合成技术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换油周期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4万公里</w:t>
            </w:r>
          </w:p>
        </w:tc>
      </w:tr>
    </w:tbl>
    <w:p>
      <w:pPr>
        <w:rPr>
          <w:rFonts w:ascii="微软雅黑" w:hAnsi="微软雅黑" w:eastAsia="微软雅黑"/>
          <w:b/>
          <w:sz w:val="18"/>
        </w:rPr>
      </w:pP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性能特点</w:t>
      </w:r>
      <w:r>
        <w:rPr>
          <w:rFonts w:hint="eastAsia" w:ascii="微软雅黑" w:hAnsi="微软雅黑" w:eastAsia="微软雅黑"/>
          <w:sz w:val="18"/>
        </w:rPr>
        <w:t>：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NANO D90康普顿纳米陶瓷D90合成技术柴油机油</w:t>
      </w:r>
    </w:p>
    <w:p>
      <w:pPr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/>
          <w:sz w:val="18"/>
        </w:rPr>
        <w:t>SAE 15W-40 20W-50 API CJ-4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康普顿纳米陶瓷机油,极端性能测试实现无机油行车5050公里荣创基尼斯世界纪录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康普顿与全球最大复合添加剂公司美国 Lubrizol共同开发 NanoArmor”纳米盾润滑技术,高性能纳米陶瓷添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加剂可瞬间在发动机金属表面形成超强纳米级陶瓷保护膜,大幅增强润滑,抗磨,散热性能,可显著降发动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机冷启动磨损;独特的“纳米自修复”功能在发动机运转过程中自动修复受损部位,实现对引擎关键部位更加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出色的保护。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采用"纳米盾润滑技术,提供超强的抗磨保护和持续自修复性能,延长发动机使用寿命;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性能卓越的合成技术柴机油,综合性能更加稳定,显著降低机油消耗;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I0TBN高碱值储备,轻松应对沿途各种燃油品质,有效抑制发动机酸腐蚀;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Ⅱ代衡压技术,稳定、均衡的油压表现并保持发动机强劲动力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优异的抗氧化性能,有效抑制油品氧化、延长使用寿命;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优异的烟炱控制能力和清净分散性能,保持发动机清洁;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满足欧V</w:t>
      </w:r>
      <w:r>
        <w:rPr>
          <w:rFonts w:ascii="微软雅黑" w:hAnsi="微软雅黑" w:eastAsia="微软雅黑"/>
          <w:sz w:val="18"/>
        </w:rPr>
        <w:t>I</w:t>
      </w:r>
      <w:r>
        <w:rPr>
          <w:rFonts w:hint="eastAsia" w:ascii="微软雅黑" w:hAnsi="微软雅黑" w:eastAsia="微软雅黑"/>
          <w:sz w:val="18"/>
        </w:rPr>
        <w:t>国V</w:t>
      </w:r>
      <w:r>
        <w:rPr>
          <w:rFonts w:ascii="微软雅黑" w:hAnsi="微软雅黑" w:eastAsia="微软雅黑"/>
          <w:sz w:val="18"/>
        </w:rPr>
        <w:t>I</w:t>
      </w:r>
      <w:r>
        <w:rPr>
          <w:rFonts w:hint="eastAsia" w:ascii="微软雅黑" w:hAnsi="微软雅黑" w:eastAsia="微软雅黑"/>
          <w:sz w:val="18"/>
        </w:rPr>
        <w:t>及以下排放标准车辆使用要求（请根据车辆服务手册选用合适发动机油）。</w:t>
      </w:r>
    </w:p>
    <w:p>
      <w:pPr>
        <w:rPr>
          <w:rFonts w:ascii="微软雅黑" w:hAnsi="微软雅黑" w:eastAsia="微软雅黑"/>
          <w:sz w:val="18"/>
        </w:rPr>
      </w:pPr>
    </w:p>
    <w:p>
      <w:pPr>
        <w:rPr>
          <w:rFonts w:ascii="微软雅黑" w:hAnsi="微软雅黑" w:eastAsia="微软雅黑"/>
          <w:sz w:val="18"/>
        </w:rPr>
      </w:pPr>
    </w:p>
    <w:p>
      <w:pPr>
        <w:rPr>
          <w:rFonts w:ascii="微软雅黑" w:hAnsi="微软雅黑" w:eastAsia="微软雅黑"/>
          <w:sz w:val="18"/>
        </w:rPr>
      </w:pP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符合美国石油学会 API CJ-4等级。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157480</wp:posOffset>
            </wp:positionV>
            <wp:extent cx="3894455" cy="2219325"/>
            <wp:effectExtent l="0" t="0" r="10795" b="9525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2813" cy="22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满足以下制造厂商的规格要求</w:t>
      </w:r>
    </w:p>
    <w:p>
      <w:pPr>
        <w:rPr>
          <w:rFonts w:ascii="微软雅黑" w:hAnsi="微软雅黑" w:eastAsia="微软雅黑"/>
          <w:b/>
          <w:sz w:val="18"/>
        </w:rPr>
      </w:pPr>
      <w:r>
        <w:rPr>
          <w:rFonts w:ascii="微软雅黑" w:hAnsi="微软雅黑" w:eastAsia="微软雅黑"/>
          <w:b/>
          <w:sz w:val="18"/>
        </w:rPr>
        <w:t>SAE 20W-50</w:t>
      </w:r>
      <w:r>
        <w:rPr>
          <w:rFonts w:hint="eastAsia" w:ascii="微软雅黑" w:hAnsi="微软雅黑" w:eastAsia="微软雅黑"/>
          <w:b/>
          <w:sz w:val="18"/>
        </w:rPr>
        <w:t xml:space="preserve">  </w:t>
      </w:r>
      <w:r>
        <w:rPr>
          <w:rFonts w:ascii="微软雅黑" w:hAnsi="微软雅黑" w:eastAsia="微软雅黑"/>
          <w:b/>
          <w:sz w:val="18"/>
        </w:rPr>
        <w:t>SAE 15W-40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曼MAN</w:t>
      </w:r>
      <w:r>
        <w:rPr>
          <w:rFonts w:ascii="微软雅黑" w:hAnsi="微软雅黑" w:eastAsia="微软雅黑"/>
          <w:sz w:val="18"/>
        </w:rPr>
        <w:t xml:space="preserve"> </w:t>
      </w:r>
      <w:r>
        <w:rPr>
          <w:rFonts w:hint="eastAsia" w:ascii="微软雅黑" w:hAnsi="微软雅黑" w:eastAsia="微软雅黑"/>
          <w:sz w:val="18"/>
        </w:rPr>
        <w:t>M3275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奔驰MB228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沃尔沃 </w:t>
      </w:r>
      <w:r>
        <w:rPr>
          <w:rFonts w:ascii="微软雅黑" w:hAnsi="微软雅黑" w:eastAsia="微软雅黑"/>
          <w:sz w:val="18"/>
        </w:rPr>
        <w:t>V</w:t>
      </w:r>
      <w:r>
        <w:rPr>
          <w:rFonts w:hint="eastAsia" w:ascii="微软雅黑" w:hAnsi="微软雅黑" w:eastAsia="微软雅黑"/>
          <w:sz w:val="18"/>
        </w:rPr>
        <w:t>OLVO VDS4</w:t>
      </w:r>
      <w:r>
        <w:t xml:space="preserve"> 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雷诺 RVI RDI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康明斯 Cummins CES20071</w:t>
      </w:r>
      <w:r>
        <w:rPr>
          <w:rFonts w:ascii="微软雅黑" w:hAnsi="微软雅黑" w:eastAsia="微软雅黑"/>
          <w:sz w:val="18"/>
        </w:rPr>
        <w:t>/</w:t>
      </w:r>
      <w:r>
        <w:rPr>
          <w:rFonts w:hint="eastAsia" w:ascii="微软雅黑" w:hAnsi="微软雅黑" w:eastAsia="微软雅黑"/>
          <w:sz w:val="18"/>
        </w:rPr>
        <w:t>20081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马克 MACK EO-OPP07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底特律柴油机 Detroit Diesel93K218</w:t>
      </w:r>
      <w:r>
        <w:rPr>
          <w:rFonts w:ascii="微软雅黑" w:hAnsi="微软雅黑" w:eastAsia="微软雅黑"/>
          <w:sz w:val="18"/>
        </w:rPr>
        <w:t>/</w:t>
      </w:r>
      <w:r>
        <w:rPr>
          <w:rFonts w:hint="eastAsia" w:ascii="微软雅黑" w:hAnsi="微软雅黑" w:eastAsia="微软雅黑"/>
          <w:sz w:val="18"/>
        </w:rPr>
        <w:t>93K215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卡特彼勒 Caterpillar ECF-2/ECF-3/ECF-1A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 </w:t>
      </w:r>
    </w:p>
    <w:p>
      <w:pPr>
        <w:rPr>
          <w:rFonts w:ascii="微软雅黑" w:hAnsi="微软雅黑" w:eastAsia="微软雅黑"/>
          <w:b/>
          <w:sz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126365</wp:posOffset>
            </wp:positionV>
            <wp:extent cx="1718945" cy="1619250"/>
            <wp:effectExtent l="0" t="0" r="14605" b="0"/>
            <wp:wrapNone/>
            <wp:docPr id="5" name="图片 4" descr="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D8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24"/>
        </w:rPr>
        <w:t>2、N</w:t>
      </w:r>
      <w:r>
        <w:rPr>
          <w:rFonts w:ascii="微软雅黑" w:hAnsi="微软雅黑" w:eastAsia="微软雅黑"/>
          <w:b/>
          <w:sz w:val="24"/>
        </w:rPr>
        <w:t xml:space="preserve">ANO </w:t>
      </w:r>
      <w:r>
        <w:rPr>
          <w:rFonts w:hint="eastAsia" w:ascii="微软雅黑" w:hAnsi="微软雅黑" w:eastAsia="微软雅黑"/>
          <w:b/>
          <w:sz w:val="24"/>
        </w:rPr>
        <w:t>D85  CI-4（纳米系列）</w:t>
      </w:r>
    </w:p>
    <w:tbl>
      <w:tblPr>
        <w:tblStyle w:val="4"/>
        <w:tblW w:w="60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3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  <w:t>产品名称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  <w:t xml:space="preserve">NANO D85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A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PI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C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I-4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SAE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15W40/20W50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是否合成油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矿物油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换油周期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3万公里</w:t>
            </w:r>
          </w:p>
        </w:tc>
      </w:tr>
    </w:tbl>
    <w:p>
      <w:pPr>
        <w:rPr>
          <w:rFonts w:ascii="微软雅黑" w:hAnsi="微软雅黑" w:eastAsia="微软雅黑"/>
          <w:sz w:val="18"/>
        </w:rPr>
      </w:pPr>
    </w:p>
    <w:p>
      <w:pPr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性能特点：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采用"Nano Armor"纳米盾润滑技术，提供超强的抗磨保护和持续自修复性能，延长发动机使用寿命；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■ 10TBN高碱值储备，轻松应对沿途各种燃油品质，有效抑制发动机酸腐蚀；                                                                                                      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II 代衡压技术，稳定、均衡的油压表现并保持发动机强劲动力；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优异的抗氧化性能，有效抑制油品氧化、延长使用寿命；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有效抑制沉积物生成，减少车辆故障和维护费用；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满足欧V/国V（未安装颗粒捕集器DPF车型）及以下排放标准车辆使用要求。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符合美国石油学会API CI-4等级</w:t>
      </w:r>
    </w:p>
    <w:p>
      <w:pPr>
        <w:rPr>
          <w:rFonts w:ascii="微软雅黑" w:hAnsi="微软雅黑" w:eastAsia="微软雅黑"/>
          <w:sz w:val="16"/>
        </w:rPr>
      </w:pPr>
    </w:p>
    <w:p>
      <w:pPr>
        <w:rPr>
          <w:rFonts w:ascii="微软雅黑" w:hAnsi="微软雅黑" w:eastAsia="微软雅黑"/>
          <w:b/>
          <w:sz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261620</wp:posOffset>
            </wp:positionV>
            <wp:extent cx="1485900" cy="1454785"/>
            <wp:effectExtent l="0" t="0" r="0" b="1206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24"/>
        </w:rPr>
        <w:t>3、N</w:t>
      </w:r>
      <w:r>
        <w:rPr>
          <w:rFonts w:ascii="微软雅黑" w:hAnsi="微软雅黑" w:eastAsia="微软雅黑"/>
          <w:b/>
          <w:sz w:val="24"/>
        </w:rPr>
        <w:t>ANO</w:t>
      </w:r>
      <w:r>
        <w:rPr>
          <w:rFonts w:hint="eastAsia" w:ascii="微软雅黑" w:hAnsi="微软雅黑" w:eastAsia="微软雅黑"/>
          <w:b/>
          <w:sz w:val="24"/>
        </w:rPr>
        <w:t xml:space="preserve"> D82 CI-4 （纳米系列）</w:t>
      </w:r>
    </w:p>
    <w:tbl>
      <w:tblPr>
        <w:tblStyle w:val="4"/>
        <w:tblW w:w="60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3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  <w:t>产品名称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2"/>
              </w:rPr>
              <w:t xml:space="preserve">NANO D82 </w:t>
            </w:r>
          </w:p>
        </w:tc>
      </w:tr>
      <w:tr>
        <w:trPr>
          <w:trHeight w:val="290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A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PI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C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I-4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SAE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15W40/20W50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是否合成油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矿物油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换油周期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2"/>
              </w:rPr>
              <w:t>3万公里</w:t>
            </w:r>
          </w:p>
        </w:tc>
      </w:tr>
    </w:tbl>
    <w:p>
      <w:pPr>
        <w:rPr>
          <w:rFonts w:ascii="微软雅黑" w:hAnsi="微软雅黑" w:eastAsia="微软雅黑"/>
          <w:sz w:val="18"/>
        </w:rPr>
      </w:pPr>
    </w:p>
    <w:p>
      <w:pPr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性能特点：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采用"Nano Armor"纳米盾润滑技术，提供超强的抗磨保护和持续自修复性能，延长发动机使用寿命；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■ 10TBN高碱值储备，轻松应对沿途各种燃油品质，有效抑制发动机酸腐蚀；                                                                                                      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II 代衡压技术，稳定、均衡的油压表现并保持发动机强劲动力；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优异的抗氧化性能，有效抑制油品氧化、延长使用寿命；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有效抑制沉积物生成，减少车辆故障和维护费用；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■ 满足欧V/国V（未安装颗粒捕集器DPF车型）及以下排放标准车辆使用要求。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符合美国石油学会API CI-4等级。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sz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274320</wp:posOffset>
            </wp:positionV>
            <wp:extent cx="1367155" cy="1480820"/>
            <wp:effectExtent l="0" t="0" r="4445" b="508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69" cy="148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24"/>
        </w:rPr>
        <w:t>4、极保 X</w:t>
      </w:r>
      <w:r>
        <w:rPr>
          <w:rFonts w:ascii="微软雅黑" w:hAnsi="微软雅黑" w:eastAsia="微软雅黑"/>
          <w:b/>
          <w:sz w:val="24"/>
        </w:rPr>
        <w:t>D</w:t>
      </w:r>
      <w:r>
        <w:rPr>
          <w:rFonts w:hint="eastAsia" w:ascii="微软雅黑" w:hAnsi="微软雅黑" w:eastAsia="微软雅黑"/>
          <w:b/>
          <w:sz w:val="24"/>
        </w:rPr>
        <w:t>800 CH-4（极保系列）</w:t>
      </w:r>
    </w:p>
    <w:tbl>
      <w:tblPr>
        <w:tblStyle w:val="4"/>
        <w:tblW w:w="582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39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2"/>
              </w:rPr>
              <w:t>产品名称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2"/>
              </w:rPr>
              <w:t>极保X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2"/>
              </w:rPr>
              <w:t xml:space="preserve">D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2"/>
              </w:rPr>
              <w:t>800 CH-4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SAE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5W-40/15W40/20W50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是否合成油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换油周期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1.5~2万公里</w:t>
            </w:r>
          </w:p>
        </w:tc>
      </w:tr>
    </w:tbl>
    <w:p/>
    <w:p>
      <w:pPr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性能特点：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II代“衡压技术”，采用更先进的系统平衡配方，油压更稳定、动力更强劲；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卓越的清净分散能力，减少积碳沉积，保持发动机内部清洁；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高碱值储备，有效防止酸腐蚀，为发动机提供优异防腐蚀保护；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■ 满足国III/欧III排放车辆使用要求。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符合并超越美国石油学会API CH-4等级要求。</w:t>
      </w:r>
    </w:p>
    <w:p>
      <w:pPr>
        <w:rPr>
          <w:rFonts w:ascii="微软雅黑" w:hAnsi="微软雅黑" w:eastAsia="微软雅黑"/>
          <w:b/>
          <w:sz w:val="18"/>
        </w:rPr>
      </w:pPr>
    </w:p>
    <w:p>
      <w:pPr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产品满足以下制造厂商的规格要求: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奔驰MB2283、曼MANM3275、 MTU Type-2、沃尔沃 VOLVO VDS3、雷诺卡车 Renault Truck RLD2</w:t>
      </w:r>
    </w:p>
    <w:p>
      <w:pPr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MACK EO-M PLUS、康明斯 Cummins CES20076/7778、 Global DHD-1、小松 Komatsu Demo testsDH-1、卡特彼勒 Caterpillar ECR、MTU Cat2</w:t>
      </w:r>
      <w:r>
        <w:rPr>
          <w:rFonts w:ascii="微软雅黑" w:hAnsi="微软雅黑" w:eastAsia="微软雅黑"/>
          <w:sz w:val="18"/>
        </w:rPr>
        <w:t xml:space="preserve"> </w:t>
      </w:r>
    </w:p>
    <w:p>
      <w:pPr>
        <w:numPr>
          <w:ilvl w:val="255"/>
          <w:numId w:val="0"/>
        </w:numPr>
        <w:spacing w:before="156" w:beforeLines="50"/>
        <w:jc w:val="left"/>
        <w:rPr>
          <w:rFonts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numPr>
          <w:ilvl w:val="255"/>
          <w:numId w:val="0"/>
        </w:numPr>
        <w:spacing w:before="156" w:beforeLines="50"/>
        <w:jc w:val="left"/>
        <w:rPr>
          <w:rFonts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numPr>
          <w:ilvl w:val="255"/>
          <w:numId w:val="0"/>
        </w:numPr>
        <w:spacing w:before="156" w:beforeLines="5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5、极保 XD820 CI-4</w:t>
      </w:r>
      <w:r>
        <w:rPr>
          <w:rFonts w:hint="eastAsia" w:ascii="微软雅黑" w:hAnsi="微软雅黑" w:eastAsia="微软雅黑"/>
          <w:b/>
          <w:sz w:val="24"/>
        </w:rPr>
        <w:t>（极保系列）</w:t>
      </w:r>
    </w:p>
    <w:tbl>
      <w:tblPr>
        <w:tblStyle w:val="4"/>
        <w:tblW w:w="514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34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2"/>
              </w:rPr>
              <w:t>产品名称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2"/>
              </w:rPr>
              <w:t>极保X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2"/>
              </w:rPr>
              <w:t xml:space="preserve">D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2"/>
              </w:rPr>
              <w:t xml:space="preserve">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SAE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15W40/20W50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是否合成油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换油周期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3万公里</w:t>
            </w:r>
          </w:p>
        </w:tc>
      </w:tr>
    </w:tbl>
    <w:p>
      <w:pPr>
        <w:pStyle w:val="2"/>
        <w:spacing w:beforeAutospacing="0" w:afterAutospacing="0" w:line="780" w:lineRule="atLeast"/>
        <w:textAlignment w:val="baseline"/>
        <w:rPr>
          <w:rFonts w:ascii="sylight" w:hAnsi="sylight"/>
          <w:color w:val="2F2C2B"/>
          <w:sz w:val="53"/>
          <w:szCs w:val="53"/>
        </w:rPr>
      </w:pPr>
      <w:r>
        <w:rPr>
          <w:rFonts w:ascii="仿宋" w:hAnsi="仿宋" w:eastAsia="仿宋" w:cs="仿宋"/>
          <w:b w:val="0"/>
          <w:bCs/>
          <w:sz w:val="32"/>
          <w:szCs w:val="32"/>
        </w:rPr>
        <w:drawing>
          <wp:inline distT="0" distB="0" distL="0" distR="0">
            <wp:extent cx="1219200" cy="1219200"/>
            <wp:effectExtent l="0" t="0" r="0" b="0"/>
            <wp:docPr id="4" name="图片 4" descr="C:\Users\Administrator\Desktop\XD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XD8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ight" w:hAnsi="sylight"/>
          <w:color w:val="2F2C2B"/>
          <w:sz w:val="53"/>
          <w:szCs w:val="53"/>
        </w:rPr>
        <w:t xml:space="preserve"> </w:t>
      </w:r>
    </w:p>
    <w:p>
      <w:pPr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性能特点：</w:t>
      </w:r>
    </w:p>
    <w:p>
      <w:pPr>
        <w:rPr>
          <w:rFonts w:hint="eastAsia" w:ascii="sylight" w:hAnsi="sylight"/>
          <w:color w:val="474545"/>
          <w:sz w:val="18"/>
          <w:szCs w:val="18"/>
        </w:rPr>
      </w:pPr>
      <w:r>
        <w:rPr>
          <w:rFonts w:ascii="sylight" w:hAnsi="sylight"/>
          <w:color w:val="474545"/>
          <w:sz w:val="18"/>
          <w:szCs w:val="18"/>
        </w:rPr>
        <w:t>■ II代“衡压技术”，均衡的配方体系，提供稳定的油压和动力输出；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优异的抗磨性能，有效减少发动机磨损并延长使用寿命；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出色的抗氧化和清净分散性能，有效减少油泥等沉积物，保持发动机清洁；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高碱值储备，有效抵御酸腐蚀，延长发动机使用寿命；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良好的高低温性能，适合大部分车型和广泛环境温度条件下使用；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满足国（欧）四/五（未安装颗粒捕集器DPF）及以下排放标准车辆的使用要求。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符合美国石油学会API CI-4/ACEA E7等级</w:t>
      </w:r>
    </w:p>
    <w:p>
      <w:pPr>
        <w:rPr>
          <w:rFonts w:hint="eastAsia" w:ascii="sylight" w:hAnsi="sylight"/>
          <w:color w:val="474545"/>
          <w:sz w:val="18"/>
          <w:szCs w:val="18"/>
        </w:rPr>
      </w:pPr>
    </w:p>
    <w:p>
      <w:pPr>
        <w:rPr>
          <w:rFonts w:hint="eastAsia" w:ascii="symedium" w:hAnsi="symedium"/>
          <w:b/>
          <w:bCs/>
          <w:color w:val="2F2C2B"/>
          <w:sz w:val="18"/>
          <w:szCs w:val="18"/>
        </w:rPr>
      </w:pPr>
      <w:r>
        <w:rPr>
          <w:rFonts w:ascii="symedium" w:hAnsi="symedium"/>
          <w:b/>
          <w:bCs/>
          <w:color w:val="2F2C2B"/>
          <w:sz w:val="18"/>
          <w:szCs w:val="18"/>
        </w:rPr>
        <w:t>执行标准</w:t>
      </w:r>
    </w:p>
    <w:p>
      <w:pPr>
        <w:rPr>
          <w:rFonts w:hint="eastAsia" w:ascii="sylight" w:hAnsi="sylight"/>
          <w:color w:val="474545"/>
          <w:sz w:val="18"/>
          <w:szCs w:val="18"/>
        </w:rPr>
      </w:pPr>
      <w:r>
        <w:rPr>
          <w:rFonts w:ascii="sylight" w:hAnsi="sylight"/>
          <w:color w:val="474545"/>
          <w:sz w:val="18"/>
          <w:szCs w:val="18"/>
        </w:rPr>
        <w:t>满足以下制造厂商的规格或使用要求：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康明斯CES 20076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奔驰MB 228.3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曼MAN 3275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MTU Type II</w:t>
      </w:r>
    </w:p>
    <w:p>
      <w:pPr>
        <w:rPr>
          <w:rFonts w:hint="eastAsia" w:ascii="sylight" w:hAnsi="sylight"/>
          <w:color w:val="474545"/>
          <w:sz w:val="18"/>
          <w:szCs w:val="18"/>
        </w:rPr>
      </w:pPr>
    </w:p>
    <w:p>
      <w:pPr>
        <w:rPr>
          <w:rFonts w:hint="eastAsia" w:ascii="symedium" w:hAnsi="symedium"/>
          <w:b/>
          <w:bCs/>
          <w:color w:val="2F2C2B"/>
          <w:sz w:val="18"/>
          <w:szCs w:val="18"/>
        </w:rPr>
      </w:pPr>
      <w:r>
        <w:rPr>
          <w:rFonts w:ascii="symedium" w:hAnsi="symedium"/>
          <w:b/>
          <w:bCs/>
          <w:color w:val="2F2C2B"/>
          <w:sz w:val="18"/>
          <w:szCs w:val="18"/>
        </w:rPr>
        <w:t>推荐应用</w:t>
      </w:r>
    </w:p>
    <w:p>
      <w:pPr>
        <w:rPr>
          <w:rFonts w:ascii="微软雅黑" w:hAnsi="微软雅黑" w:eastAsia="微软雅黑"/>
          <w:b/>
          <w:sz w:val="18"/>
          <w:szCs w:val="18"/>
        </w:rPr>
      </w:pPr>
      <w:r>
        <w:rPr>
          <w:rFonts w:ascii="sylight" w:hAnsi="sylight"/>
          <w:color w:val="474545"/>
          <w:sz w:val="18"/>
          <w:szCs w:val="18"/>
        </w:rPr>
        <w:t>满足奔驰、沃尔沃、曼、一汽解放、东风、陕汽、重汽、福田等国内外主流OEM品牌车型以及发动机的使用要求</w:t>
      </w:r>
    </w:p>
    <w:p>
      <w:pPr>
        <w:rPr>
          <w:rFonts w:ascii="微软雅黑" w:hAnsi="微软雅黑" w:eastAsia="微软雅黑"/>
          <w:b/>
          <w:sz w:val="18"/>
          <w:szCs w:val="18"/>
        </w:rPr>
      </w:pPr>
    </w:p>
    <w:p>
      <w:pPr>
        <w:numPr>
          <w:ilvl w:val="255"/>
          <w:numId w:val="0"/>
        </w:numPr>
        <w:spacing w:before="156" w:beforeLines="5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311785</wp:posOffset>
            </wp:positionV>
            <wp:extent cx="1152525" cy="1152525"/>
            <wp:effectExtent l="0" t="0" r="9525" b="9525"/>
            <wp:wrapSquare wrapText="bothSides"/>
            <wp:docPr id="13" name="图片 13" descr="C:\Users\Administrator\Desktop\XD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XD1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6、极保 XD1000 CK-4 </w:t>
      </w:r>
      <w:r>
        <w:rPr>
          <w:rFonts w:hint="eastAsia" w:ascii="微软雅黑" w:hAnsi="微软雅黑" w:eastAsia="微软雅黑"/>
          <w:b/>
          <w:sz w:val="24"/>
        </w:rPr>
        <w:t>（极保系列）</w:t>
      </w:r>
    </w:p>
    <w:tbl>
      <w:tblPr>
        <w:tblStyle w:val="4"/>
        <w:tblW w:w="514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34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2"/>
              </w:rPr>
              <w:t>产品名称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2"/>
              </w:rPr>
              <w:t>极保X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2"/>
              </w:rPr>
              <w:t xml:space="preserve">D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2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SAE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15W40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是否合成油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换油周期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2"/>
              </w:rPr>
            </w:pPr>
            <w:r>
              <w:rPr>
                <w:rFonts w:hint="eastAsia" w:ascii="微软雅黑" w:hAnsi="微软雅黑" w:eastAsia="微软雅黑"/>
                <w:color w:val="000000"/>
                <w:sz w:val="16"/>
                <w:szCs w:val="12"/>
              </w:rPr>
              <w:t>4万公里</w:t>
            </w:r>
          </w:p>
        </w:tc>
      </w:tr>
    </w:tbl>
    <w:p>
      <w:pPr>
        <w:rPr>
          <w:rFonts w:ascii="微软雅黑" w:hAnsi="微软雅黑" w:eastAsia="微软雅黑"/>
          <w:b/>
          <w:sz w:val="18"/>
          <w:szCs w:val="18"/>
        </w:rPr>
      </w:pPr>
    </w:p>
    <w:p>
      <w:pPr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性能特点：</w:t>
      </w:r>
    </w:p>
    <w:p>
      <w:pPr>
        <w:rPr>
          <w:rFonts w:hint="eastAsia" w:ascii="sylight" w:hAnsi="sylight"/>
          <w:color w:val="474545"/>
          <w:sz w:val="18"/>
          <w:szCs w:val="18"/>
        </w:rPr>
      </w:pPr>
      <w:r>
        <w:rPr>
          <w:rFonts w:ascii="sylight" w:hAnsi="sylight"/>
          <w:color w:val="474545"/>
          <w:sz w:val="18"/>
          <w:szCs w:val="18"/>
        </w:rPr>
        <w:t>■ 使用新一代摩擦改进剂，显著提升燃油经济性；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II代“衡压技术”，采用更先进的系统平衡配方，油压更稳定、动力更强劲；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高碱值储备，换油期内油品性能更稳定。防止酸腐蚀，延长发动机使用寿命；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出色的沉积物控制，时刻保持发动机清洁；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强劲的抗氧化性能，有效延长换油周期； 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优异的抗磨保护，有效延长发动机使用寿命；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■ 优异的高低温性能，满足大部分地区使用需求。</w:t>
      </w:r>
      <w:r>
        <w:rPr>
          <w:rFonts w:ascii="sylight" w:hAnsi="sylight"/>
          <w:color w:val="474545"/>
          <w:sz w:val="18"/>
          <w:szCs w:val="18"/>
        </w:rPr>
        <w:br w:type="textWrapping"/>
      </w:r>
      <w:r>
        <w:rPr>
          <w:rFonts w:ascii="sylight" w:hAnsi="sylight"/>
          <w:color w:val="474545"/>
          <w:sz w:val="18"/>
          <w:szCs w:val="18"/>
        </w:rPr>
        <w:t>满足美国石油学会API CK-4、欧洲汽车制造协会ACEA E9等级</w:t>
      </w:r>
    </w:p>
    <w:p>
      <w:pPr>
        <w:rPr>
          <w:rFonts w:hint="eastAsia" w:ascii="symedium" w:hAnsi="symedium"/>
          <w:b/>
          <w:bCs/>
          <w:color w:val="2F2C2B"/>
          <w:sz w:val="18"/>
          <w:szCs w:val="18"/>
        </w:rPr>
      </w:pPr>
    </w:p>
    <w:p>
      <w:pPr>
        <w:rPr>
          <w:rFonts w:hint="eastAsia" w:ascii="symedium" w:hAnsi="symedium"/>
          <w:b/>
          <w:bCs/>
          <w:color w:val="2F2C2B"/>
          <w:sz w:val="18"/>
          <w:szCs w:val="18"/>
        </w:rPr>
      </w:pPr>
      <w:r>
        <w:rPr>
          <w:rFonts w:ascii="symedium" w:hAnsi="symedium"/>
          <w:b/>
          <w:bCs/>
          <w:color w:val="2F2C2B"/>
          <w:sz w:val="18"/>
          <w:szCs w:val="18"/>
        </w:rPr>
        <w:t>执行标准</w:t>
      </w:r>
    </w:p>
    <w:p>
      <w:pPr>
        <w:rPr>
          <w:rFonts w:ascii="微软雅黑" w:hAnsi="微软雅黑" w:eastAsia="微软雅黑"/>
          <w:b/>
          <w:sz w:val="18"/>
          <w:szCs w:val="18"/>
        </w:rPr>
      </w:pPr>
      <w:r>
        <w:rPr>
          <w:rFonts w:ascii="sylight" w:hAnsi="sylight"/>
          <w:b/>
          <w:color w:val="474545"/>
          <w:sz w:val="18"/>
          <w:szCs w:val="18"/>
        </w:rPr>
        <w:t>满足以下制造厂商的规格或使用要求：</w:t>
      </w:r>
      <w:r>
        <w:rPr>
          <w:rFonts w:ascii="sylight" w:hAnsi="sylight"/>
          <w:b/>
          <w:color w:val="474545"/>
          <w:sz w:val="18"/>
          <w:szCs w:val="18"/>
        </w:rPr>
        <w:br w:type="textWrapping"/>
      </w:r>
      <w:r>
        <w:rPr>
          <w:rFonts w:ascii="sylight" w:hAnsi="sylight"/>
          <w:b/>
          <w:color w:val="474545"/>
          <w:sz w:val="18"/>
          <w:szCs w:val="18"/>
        </w:rPr>
        <w:t>康明斯Cummins CES 20081</w:t>
      </w:r>
      <w:r>
        <w:rPr>
          <w:rFonts w:ascii="sylight" w:hAnsi="sylight"/>
          <w:b/>
          <w:color w:val="474545"/>
          <w:sz w:val="18"/>
          <w:szCs w:val="18"/>
        </w:rPr>
        <w:br w:type="textWrapping"/>
      </w:r>
      <w:r>
        <w:rPr>
          <w:rFonts w:ascii="sylight" w:hAnsi="sylight"/>
          <w:b/>
          <w:color w:val="474545"/>
          <w:sz w:val="18"/>
          <w:szCs w:val="18"/>
        </w:rPr>
        <w:t>马克Mack EO-O PP</w:t>
      </w:r>
      <w:r>
        <w:rPr>
          <w:rFonts w:ascii="sylight" w:hAnsi="sylight"/>
          <w:b/>
          <w:color w:val="474545"/>
          <w:sz w:val="18"/>
          <w:szCs w:val="18"/>
        </w:rPr>
        <w:br w:type="textWrapping"/>
      </w:r>
      <w:r>
        <w:rPr>
          <w:rFonts w:ascii="sylight" w:hAnsi="sylight"/>
          <w:b/>
          <w:color w:val="474545"/>
          <w:sz w:val="18"/>
          <w:szCs w:val="18"/>
        </w:rPr>
        <w:t>底特律柴油机DDC 93K218</w:t>
      </w:r>
      <w:r>
        <w:rPr>
          <w:rFonts w:ascii="sylight" w:hAnsi="sylight"/>
          <w:b/>
          <w:color w:val="474545"/>
          <w:sz w:val="18"/>
          <w:szCs w:val="18"/>
        </w:rPr>
        <w:br w:type="textWrapping"/>
      </w:r>
      <w:r>
        <w:rPr>
          <w:rFonts w:ascii="sylight" w:hAnsi="sylight"/>
          <w:b/>
          <w:color w:val="474545"/>
          <w:sz w:val="18"/>
          <w:szCs w:val="18"/>
        </w:rPr>
        <w:t>卡特彼勒Caterpillar ECF-3</w:t>
      </w:r>
      <w:r>
        <w:rPr>
          <w:rFonts w:ascii="sylight" w:hAnsi="sylight"/>
          <w:b/>
          <w:color w:val="474545"/>
          <w:sz w:val="18"/>
          <w:szCs w:val="18"/>
        </w:rPr>
        <w:br w:type="textWrapping"/>
      </w:r>
      <w:r>
        <w:rPr>
          <w:rFonts w:ascii="sylight" w:hAnsi="sylight"/>
          <w:b/>
          <w:color w:val="474545"/>
          <w:sz w:val="18"/>
          <w:szCs w:val="18"/>
        </w:rPr>
        <w:t>沃尔沃Volvo VDS-4</w:t>
      </w:r>
      <w:r>
        <w:rPr>
          <w:rFonts w:ascii="sylight" w:hAnsi="sylight"/>
          <w:b/>
          <w:color w:val="474545"/>
          <w:sz w:val="18"/>
          <w:szCs w:val="18"/>
        </w:rPr>
        <w:br w:type="textWrapping"/>
      </w:r>
      <w:r>
        <w:rPr>
          <w:rFonts w:ascii="sylight" w:hAnsi="sylight"/>
          <w:b/>
          <w:color w:val="474545"/>
          <w:sz w:val="18"/>
          <w:szCs w:val="18"/>
        </w:rPr>
        <w:t>奔驰 MB 228.31</w:t>
      </w:r>
      <w:r>
        <w:rPr>
          <w:rFonts w:ascii="sylight" w:hAnsi="sylight"/>
          <w:b/>
          <w:color w:val="474545"/>
          <w:sz w:val="18"/>
          <w:szCs w:val="18"/>
        </w:rPr>
        <w:br w:type="textWrapping"/>
      </w:r>
      <w:r>
        <w:rPr>
          <w:rFonts w:ascii="sylight" w:hAnsi="sylight"/>
          <w:b/>
          <w:color w:val="474545"/>
          <w:sz w:val="18"/>
          <w:szCs w:val="18"/>
        </w:rPr>
        <w:t>雷诺卡车Renault Trucks RLD-3</w:t>
      </w:r>
      <w:r>
        <w:rPr>
          <w:rFonts w:ascii="sylight" w:hAnsi="sylight"/>
          <w:b/>
          <w:color w:val="474545"/>
          <w:sz w:val="18"/>
          <w:szCs w:val="18"/>
        </w:rPr>
        <w:br w:type="textWrapping"/>
      </w:r>
      <w:r>
        <w:rPr>
          <w:rFonts w:ascii="sylight" w:hAnsi="sylight"/>
          <w:b/>
          <w:color w:val="474545"/>
          <w:sz w:val="18"/>
          <w:szCs w:val="18"/>
        </w:rPr>
        <w:t>曼MAN M3575</w:t>
      </w:r>
      <w:r>
        <w:rPr>
          <w:rFonts w:ascii="sylight" w:hAnsi="sylight"/>
          <w:b/>
          <w:color w:val="474545"/>
          <w:sz w:val="18"/>
          <w:szCs w:val="18"/>
        </w:rPr>
        <w:br w:type="textWrapping"/>
      </w:r>
      <w:r>
        <w:rPr>
          <w:rFonts w:ascii="sylight" w:hAnsi="sylight"/>
          <w:b/>
          <w:color w:val="474545"/>
          <w:sz w:val="18"/>
          <w:szCs w:val="18"/>
        </w:rPr>
        <w:t>MTU Category 2.1</w:t>
      </w:r>
    </w:p>
    <w:p>
      <w:pPr>
        <w:numPr>
          <w:ilvl w:val="255"/>
          <w:numId w:val="0"/>
        </w:numPr>
        <w:spacing w:before="156" w:beforeLines="50"/>
        <w:jc w:val="left"/>
        <w:rPr>
          <w:rFonts w:ascii="仿宋" w:hAnsi="仿宋" w:eastAsia="仿宋" w:cs="仿宋"/>
          <w:b/>
          <w:bCs/>
          <w:sz w:val="18"/>
          <w:szCs w:val="18"/>
        </w:rPr>
      </w:pPr>
      <w:r>
        <w:rPr>
          <w:rFonts w:ascii="仿宋" w:hAnsi="仿宋" w:eastAsia="仿宋" w:cs="仿宋"/>
          <w:b/>
          <w:bCs/>
          <w:sz w:val="18"/>
          <w:szCs w:val="18"/>
        </w:rPr>
        <w:br w:type="textWrapping" w:clear="all"/>
      </w:r>
    </w:p>
    <w:p>
      <w:pPr>
        <w:ind w:firstLine="5903" w:firstLineChars="2100"/>
        <w:rPr>
          <w:rFonts w:ascii="仿宋" w:hAnsi="仿宋" w:eastAsia="仿宋" w:cs="仿宋"/>
          <w:b/>
          <w:bCs/>
          <w:sz w:val="28"/>
          <w:szCs w:val="28"/>
        </w:rPr>
      </w:pPr>
    </w:p>
    <w:p/>
    <w:sectPr>
      <w:pgSz w:w="11906" w:h="16838"/>
      <w:pgMar w:top="993" w:right="1416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yriad Pro">
    <w:altName w:val="Times New Roman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2020-11-19T06:56:42Z</dcterms:created>
  <dc:creator>Administrator</dc:creator>
  <cp:lastModifiedBy>Administrator</cp:lastModifiedBy>
  <dcterms:modified xsi:type="dcterms:W3CDTF">2020-11-19T06:58:21Z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