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附件2.</w:t>
      </w:r>
    </w:p>
    <w:p>
      <w:pPr>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参 会 须 知</w:t>
      </w:r>
    </w:p>
    <w:p>
      <w:pPr>
        <w:ind w:firstLine="320" w:firstLineChars="1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一、参会人员</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国家有关部、委、局领导，相关省、市领导，以及“一带一路”沿线国家相关政府部门；</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国内行业组织与科研单位，以及“一带一路”沿线国家相关行业组织与机构；</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协会会员单位及各分支机构会员单位；</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国内外大件（公路、铁路、水路）运输与吊装企业；</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国内外大件吊装及运输装备的生产制造企业；</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电力设备制造企业，冶金、石油、石化、化工、机械、船舶、轨道交通等大型设备生产制造企业；</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国内外大型工程项目的业主单位、建设施工单位；</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从事大件货物进出口的代理公司、海外工程承包商、供应链管理公司；</w:t>
      </w:r>
    </w:p>
    <w:p>
      <w:pPr>
        <w:numPr>
          <w:ilvl w:val="0"/>
          <w:numId w:val="1"/>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国内外港口、园区、机场、货物运输枢纽等管理机构；</w:t>
      </w:r>
    </w:p>
    <w:p>
      <w:pPr>
        <w:numPr>
          <w:ilvl w:val="0"/>
          <w:numId w:val="0"/>
        </w:numPr>
        <w:ind w:left="420" w:left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10.信息技术企业、投资及咨询机构，相关媒体。</w:t>
      </w:r>
    </w:p>
    <w:p>
      <w:pPr>
        <w:ind w:firstLine="320" w:firstLineChars="1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二、主要议题</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新形势下我国大型设备制造业的发展趋势与重点工程项目的布局规划。</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“一带一路”沿线国家产能合作发展前景及海外工程项目布局规划。</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“一带一路”战略的实施，基础设施建设、交通的互联互通、贸易投资的便利化为大件运输带来的发展机遇。</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未来我国大件物流发展的环境与趋势。</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大型设备生产企业、工程建设承包单位与大件物流企业的协同合作，加强供应链管理，共图国际化进程。</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大件物流行业应用信息技术，加强安全管理。</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“一带一路”沿线国家大件物流投资环境。</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加快大件物流企业“走出去”步伐，加强国际交流与合作，开拓国际业务。</w:t>
      </w:r>
    </w:p>
    <w:p>
      <w:pPr>
        <w:numPr>
          <w:ilvl w:val="0"/>
          <w:numId w:val="2"/>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对话互动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20" w:firstLineChars="1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三、会议费用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58" w:firstLineChars="11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会务费1400元/人 ，所有参会人员交通、住宿费自理。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320" w:firstLineChars="1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四、住宿安排</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标间/单间：270元/晚（含双早），房间有限，将执行“先到先得”的原则。</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20" w:firstLineChars="1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五、注意事项</w:t>
      </w:r>
    </w:p>
    <w:p>
      <w:pPr>
        <w:numPr>
          <w:ilvl w:val="0"/>
          <w:numId w:val="3"/>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参会单位请填写参会回执表，于2019年10月20日前传真或邮件至会务组；</w:t>
      </w:r>
    </w:p>
    <w:p>
      <w:pPr>
        <w:numPr>
          <w:ilvl w:val="0"/>
          <w:numId w:val="3"/>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回执表注明房间数量，汇款时注明“物流论坛”字样；</w:t>
      </w:r>
    </w:p>
    <w:p>
      <w:pPr>
        <w:numPr>
          <w:ilvl w:val="0"/>
          <w:numId w:val="3"/>
        </w:numPr>
        <w:ind w:left="845" w:leftChars="0" w:hanging="425"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参会单位汇款后请将凭证及开票信息传真或邮件至协会，以便会议现场领取发票；会议现场缴费单位会议后邮寄发票，本次会议可提供电子发票。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20" w:firstLineChars="1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六、会务组联系方式</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58" w:firstLineChars="11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lang w:val="en-US" w:eastAsia="zh-CN"/>
        </w:rPr>
        <w:t xml:space="preserve">  王晓魁   </w:t>
      </w:r>
      <w:r>
        <w:rPr>
          <w:rFonts w:hint="eastAsia" w:ascii="仿宋" w:hAnsi="仿宋" w:eastAsia="仿宋" w:cs="仿宋"/>
          <w:color w:val="auto"/>
          <w:sz w:val="32"/>
          <w:szCs w:val="32"/>
        </w:rPr>
        <w:t>010</w:t>
      </w:r>
      <w:r>
        <w:rPr>
          <w:rFonts w:hint="eastAsia" w:ascii="仿宋" w:hAnsi="仿宋" w:eastAsia="仿宋" w:cs="仿宋"/>
          <w:color w:val="auto"/>
          <w:sz w:val="32"/>
          <w:szCs w:val="32"/>
          <w:lang w:val="en-US" w:eastAsia="zh-CN"/>
        </w:rPr>
        <w:t>-51190705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13621026674</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58" w:firstLineChars="112"/>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 xml:space="preserve">          邱牧歌   010-51190711, 15811034341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360" w:lineRule="auto"/>
        <w:ind w:firstLine="420" w:firstLineChars="0"/>
        <w:textAlignment w:val="auto"/>
        <w:rPr>
          <w:rFonts w:hint="eastAsia" w:ascii="仿宋_GB2312" w:hAnsi="宋体" w:eastAsia="仿宋_GB2312" w:cs="仿宋_GB2312"/>
          <w:color w:val="auto"/>
          <w:sz w:val="32"/>
          <w:szCs w:val="32"/>
          <w:u w:val="single" w:color="FFFFFF" w:themeColor="background1"/>
          <w:lang w:val="en-US" w:eastAsia="zh-CN"/>
        </w:rPr>
      </w:pPr>
      <w:r>
        <w:rPr>
          <w:rFonts w:hint="eastAsia" w:ascii="仿宋" w:hAnsi="仿宋" w:eastAsia="仿宋" w:cs="仿宋"/>
          <w:color w:val="auto"/>
          <w:sz w:val="32"/>
          <w:szCs w:val="32"/>
          <w:lang w:val="en-US" w:eastAsia="zh-CN"/>
        </w:rPr>
        <w:t>电子邮件</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r>
        <w:rPr>
          <w:rFonts w:hint="eastAsia" w:ascii="仿宋_GB2312" w:hAnsi="宋体" w:eastAsia="仿宋_GB2312" w:cs="仿宋_GB2312"/>
          <w:color w:val="auto"/>
          <w:sz w:val="32"/>
          <w:szCs w:val="32"/>
          <w:lang w:val="en-US" w:eastAsia="zh-CN"/>
        </w:rPr>
        <w:fldChar w:fldCharType="begin"/>
      </w:r>
      <w:r>
        <w:rPr>
          <w:rFonts w:hint="eastAsia" w:ascii="仿宋_GB2312" w:hAnsi="宋体" w:eastAsia="仿宋_GB2312" w:cs="仿宋_GB2312"/>
          <w:color w:val="auto"/>
          <w:sz w:val="32"/>
          <w:szCs w:val="32"/>
          <w:lang w:val="en-US" w:eastAsia="zh-CN"/>
        </w:rPr>
        <w:instrText xml:space="preserve"> HYPERLINK "mailto:shdwl@shdwl.cn" </w:instrText>
      </w:r>
      <w:r>
        <w:rPr>
          <w:rFonts w:hint="eastAsia" w:ascii="仿宋_GB2312" w:hAnsi="宋体" w:eastAsia="仿宋_GB2312" w:cs="仿宋_GB2312"/>
          <w:color w:val="auto"/>
          <w:sz w:val="32"/>
          <w:szCs w:val="32"/>
          <w:lang w:val="en-US" w:eastAsia="zh-CN"/>
        </w:rPr>
        <w:fldChar w:fldCharType="separate"/>
      </w:r>
      <w:r>
        <w:rPr>
          <w:rFonts w:hint="eastAsia" w:ascii="仿宋_GB2312" w:hAnsi="宋体" w:eastAsia="仿宋_GB2312" w:cs="仿宋_GB2312"/>
          <w:color w:val="auto"/>
          <w:sz w:val="32"/>
          <w:szCs w:val="32"/>
          <w:lang w:val="en-US" w:eastAsia="zh-CN"/>
        </w:rPr>
        <w:t>wangxiaokui@shdwl.cn</w:t>
      </w:r>
      <w:r>
        <w:rPr>
          <w:rFonts w:hint="eastAsia" w:ascii="仿宋_GB2312" w:hAnsi="宋体" w:eastAsia="仿宋_GB2312" w:cs="仿宋_GB2312"/>
          <w:color w:val="auto"/>
          <w:sz w:val="32"/>
          <w:szCs w:val="32"/>
          <w:lang w:val="en-US" w:eastAsia="zh-CN"/>
        </w:rPr>
        <w:fldChar w:fldCharType="end"/>
      </w:r>
      <w:r>
        <w:rPr>
          <w:rFonts w:hint="eastAsia" w:ascii="仿宋_GB2312" w:hAnsi="宋体" w:eastAsia="仿宋_GB2312" w:cs="仿宋_GB2312"/>
          <w:color w:val="auto"/>
          <w:sz w:val="32"/>
          <w:szCs w:val="32"/>
          <w:u w:val="single" w:color="FFFFFF" w:themeColor="background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360" w:lineRule="auto"/>
        <w:textAlignment w:val="auto"/>
        <w:rPr>
          <w:rFonts w:hint="eastAsia" w:ascii="仿宋_GB2312" w:hAnsi="宋体" w:eastAsia="仿宋_GB2312" w:cs="仿宋_GB2312"/>
          <w:color w:val="auto"/>
          <w:sz w:val="32"/>
          <w:szCs w:val="32"/>
          <w:u w:val="none" w:color="auto"/>
          <w:lang w:val="en-US" w:eastAsia="zh-CN"/>
        </w:rPr>
      </w:pPr>
      <w:r>
        <w:rPr>
          <w:rFonts w:hint="eastAsia" w:ascii="仿宋_GB2312" w:hAnsi="宋体" w:eastAsia="仿宋_GB2312" w:cs="仿宋_GB2312"/>
          <w:color w:val="auto"/>
          <w:sz w:val="32"/>
          <w:szCs w:val="32"/>
          <w:u w:val="single" w:color="FFFFFF" w:themeColor="background1"/>
          <w:lang w:val="en-US" w:eastAsia="zh-CN"/>
        </w:rPr>
        <w:t xml:space="preserve">   </w:t>
      </w:r>
      <w:r>
        <w:rPr>
          <w:rFonts w:hint="eastAsia" w:ascii="仿宋_GB2312" w:hAnsi="宋体" w:eastAsia="仿宋_GB2312" w:cs="仿宋_GB2312"/>
          <w:color w:val="auto"/>
          <w:sz w:val="32"/>
          <w:szCs w:val="32"/>
          <w:u w:val="none" w:color="auto"/>
          <w:lang w:val="en-US" w:eastAsia="zh-CN"/>
        </w:rPr>
        <w:t xml:space="preserve">         </w:t>
      </w:r>
      <w:r>
        <w:rPr>
          <w:rFonts w:hint="eastAsia" w:ascii="仿宋_GB2312" w:hAnsi="宋体" w:eastAsia="仿宋_GB2312" w:cs="仿宋_GB2312"/>
          <w:color w:val="auto"/>
          <w:sz w:val="32"/>
          <w:szCs w:val="32"/>
          <w:u w:val="none" w:color="auto"/>
          <w:lang w:val="en-US" w:eastAsia="zh-CN"/>
        </w:rPr>
        <w:fldChar w:fldCharType="begin"/>
      </w:r>
      <w:r>
        <w:rPr>
          <w:rFonts w:hint="eastAsia" w:ascii="仿宋_GB2312" w:hAnsi="宋体" w:eastAsia="仿宋_GB2312" w:cs="仿宋_GB2312"/>
          <w:color w:val="auto"/>
          <w:sz w:val="32"/>
          <w:szCs w:val="32"/>
          <w:u w:val="none" w:color="auto"/>
          <w:lang w:val="en-US" w:eastAsia="zh-CN"/>
        </w:rPr>
        <w:instrText xml:space="preserve"> HYPERLINK "mailto:hcx@shdwl.cn" </w:instrText>
      </w:r>
      <w:r>
        <w:rPr>
          <w:rFonts w:hint="eastAsia" w:ascii="仿宋_GB2312" w:hAnsi="宋体" w:eastAsia="仿宋_GB2312" w:cs="仿宋_GB2312"/>
          <w:color w:val="auto"/>
          <w:sz w:val="32"/>
          <w:szCs w:val="32"/>
          <w:u w:val="none" w:color="auto"/>
          <w:lang w:val="en-US" w:eastAsia="zh-CN"/>
        </w:rPr>
        <w:fldChar w:fldCharType="separate"/>
      </w:r>
      <w:r>
        <w:rPr>
          <w:rStyle w:val="4"/>
          <w:rFonts w:hint="eastAsia" w:ascii="仿宋_GB2312" w:hAnsi="宋体" w:eastAsia="仿宋_GB2312" w:cs="仿宋_GB2312"/>
          <w:color w:val="auto"/>
          <w:sz w:val="32"/>
          <w:szCs w:val="32"/>
          <w:u w:val="none" w:color="auto"/>
          <w:lang w:val="en-US" w:eastAsia="zh-CN"/>
        </w:rPr>
        <w:t>qiumuge@shdwl.cn</w:t>
      </w:r>
      <w:r>
        <w:rPr>
          <w:rFonts w:hint="eastAsia" w:ascii="仿宋_GB2312" w:hAnsi="宋体" w:eastAsia="仿宋_GB2312" w:cs="仿宋_GB2312"/>
          <w:color w:val="auto"/>
          <w:sz w:val="32"/>
          <w:szCs w:val="32"/>
          <w:u w:val="none" w:color="auto"/>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360" w:lineRule="auto"/>
        <w:ind w:firstLine="1920" w:firstLineChars="600"/>
        <w:textAlignment w:val="auto"/>
        <w:rPr>
          <w:rFonts w:hint="default" w:ascii="仿宋_GB2312" w:hAnsi="宋体" w:eastAsia="仿宋_GB2312" w:cs="仿宋_GB2312"/>
          <w:color w:val="auto"/>
          <w:sz w:val="32"/>
          <w:szCs w:val="32"/>
          <w:u w:val="none" w:color="auto"/>
          <w:lang w:val="en-US" w:eastAsia="zh-CN"/>
        </w:rPr>
      </w:pPr>
      <w:r>
        <w:rPr>
          <w:rFonts w:hint="eastAsia" w:ascii="仿宋_GB2312" w:hAnsi="宋体" w:eastAsia="仿宋_GB2312" w:cs="仿宋_GB2312"/>
          <w:color w:val="auto"/>
          <w:sz w:val="32"/>
          <w:szCs w:val="32"/>
          <w:u w:val="none" w:color="auto"/>
          <w:lang w:val="en-US" w:eastAsia="zh-CN"/>
        </w:rPr>
        <w:t>843582539@qq.com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022E8"/>
    <w:multiLevelType w:val="singleLevel"/>
    <w:tmpl w:val="9AF022E8"/>
    <w:lvl w:ilvl="0" w:tentative="0">
      <w:start w:val="1"/>
      <w:numFmt w:val="decimal"/>
      <w:lvlText w:val="%1."/>
      <w:lvlJc w:val="left"/>
      <w:pPr>
        <w:ind w:left="425" w:hanging="425"/>
      </w:pPr>
      <w:rPr>
        <w:rFonts w:hint="default"/>
      </w:rPr>
    </w:lvl>
  </w:abstractNum>
  <w:abstractNum w:abstractNumId="1">
    <w:nsid w:val="F322A4A8"/>
    <w:multiLevelType w:val="singleLevel"/>
    <w:tmpl w:val="F322A4A8"/>
    <w:lvl w:ilvl="0" w:tentative="0">
      <w:start w:val="1"/>
      <w:numFmt w:val="decimal"/>
      <w:lvlText w:val="%1."/>
      <w:lvlJc w:val="left"/>
      <w:pPr>
        <w:ind w:left="425" w:hanging="425"/>
      </w:pPr>
      <w:rPr>
        <w:rFonts w:hint="default"/>
      </w:rPr>
    </w:lvl>
  </w:abstractNum>
  <w:abstractNum w:abstractNumId="2">
    <w:nsid w:val="7EE52AFA"/>
    <w:multiLevelType w:val="singleLevel"/>
    <w:tmpl w:val="7EE52AFA"/>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10C51"/>
    <w:rsid w:val="6AE1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2019-09-25T02:57:00Z</dcterms:created>
  <dc:creator>中国水利电力物资流通协会</dc:creator>
  <cp:lastModifiedBy>中国水利电力物资流通协会</cp:lastModifiedBy>
  <dcterms:modified xsi:type="dcterms:W3CDTF">2019-09-25T02:58:07Z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